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eastAsia="Times New Roman" w:cs="Times New Roman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Times New Roman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Times New Roman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Times New Roman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left"/>
        <w:rPr>
          <w:rFonts w:ascii="Arial" w:hAnsi="Arial" w:eastAsia="Times New Roman" w:cs="Times New Roman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Times New Roman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Times New Roman"/>
          <w:b/>
          <w:b/>
          <w:bCs/>
          <w:i/>
          <w:i/>
          <w:iCs/>
          <w:color w:val="000000"/>
          <w:sz w:val="24"/>
          <w:szCs w:val="24"/>
          <w:u w:val="single"/>
          <w:lang w:val="pt-BR" w:bidi="ar-SA"/>
        </w:rPr>
      </w:pPr>
      <w:r>
        <w:rPr>
          <w:rFonts w:eastAsia="Times New Roman" w:cs="Times New Roman" w:ascii="Arial" w:hAnsi="Arial"/>
          <w:b/>
          <w:bCs/>
          <w:i/>
          <w:iCs/>
          <w:color w:val="000000"/>
          <w:sz w:val="24"/>
          <w:szCs w:val="24"/>
          <w:u w:val="single"/>
          <w:lang w:val="pt-BR" w:bidi="ar-SA"/>
        </w:rPr>
        <w:t>PARECER</w:t>
      </w:r>
    </w:p>
    <w:p>
      <w:pPr>
        <w:pStyle w:val="Normal"/>
        <w:jc w:val="center"/>
        <w:rPr>
          <w:rFonts w:ascii="Arial" w:hAnsi="Arial" w:eastAsia="Times New Roman" w:cs="Times New Roman"/>
          <w:b/>
          <w:b/>
          <w:bCs/>
          <w:i/>
          <w:i/>
          <w:iCs/>
          <w:color w:val="000000"/>
          <w:sz w:val="24"/>
          <w:szCs w:val="24"/>
          <w:u w:val="none"/>
          <w:lang w:val="pt-BR" w:bidi="ar-SA"/>
        </w:rPr>
      </w:pPr>
      <w:r>
        <w:rPr>
          <w:rFonts w:eastAsia="Times New Roman" w:cs="Times New Roman" w:ascii="Arial" w:hAnsi="Arial"/>
          <w:b/>
          <w:bCs/>
          <w:i/>
          <w:iCs/>
          <w:color w:val="000000"/>
          <w:sz w:val="24"/>
          <w:szCs w:val="24"/>
          <w:u w:val="none"/>
          <w:lang w:val="pt-BR" w:bidi="ar-SA"/>
        </w:rPr>
        <w:t>PROJETO DE LEI ORDINÁRIA N°019/2021</w:t>
      </w:r>
    </w:p>
    <w:p>
      <w:pPr>
        <w:pStyle w:val="Normal"/>
        <w:jc w:val="center"/>
        <w:rPr>
          <w:rFonts w:ascii="Arial" w:hAnsi="Arial" w:eastAsia="Times New Roman" w:cs="Times New Roman"/>
          <w:b/>
          <w:b/>
          <w:bCs/>
          <w:i/>
          <w:i/>
          <w:iCs/>
          <w:color w:val="000000"/>
          <w:sz w:val="24"/>
          <w:szCs w:val="24"/>
          <w:u w:val="none"/>
          <w:lang w:val="pt-BR" w:bidi="ar-SA"/>
        </w:rPr>
      </w:pPr>
      <w:r>
        <w:rPr>
          <w:rFonts w:eastAsia="Times New Roman" w:cs="Times New Roman" w:ascii="Arial" w:hAnsi="Arial"/>
          <w:b/>
          <w:bCs/>
          <w:i/>
          <w:iCs/>
          <w:color w:val="000000"/>
          <w:sz w:val="24"/>
          <w:szCs w:val="24"/>
          <w:u w:val="none"/>
          <w:lang w:val="pt-BR" w:bidi="ar-SA"/>
        </w:rPr>
        <w:t>AUTORIA VEREADORA MAIARA FELÍCIO</w:t>
      </w:r>
    </w:p>
    <w:p>
      <w:pPr>
        <w:pStyle w:val="Normal"/>
        <w:jc w:val="center"/>
        <w:rPr>
          <w:rFonts w:ascii="Arial" w:hAnsi="Arial" w:eastAsia="Times New Roman" w:cs="Times New Roman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Times New Roman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widowControl/>
        <w:spacing w:lineRule="auto" w:line="360" w:before="150" w:after="120"/>
        <w:jc w:val="both"/>
        <w:rPr>
          <w:rFonts w:ascii="Arial" w:hAnsi="Arial" w:eastAsia="inherit" w:cs="inherit"/>
          <w:b/>
          <w:b/>
          <w:bCs/>
          <w:i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</w:pPr>
      <w:r>
        <w:rPr>
          <w:rFonts w:eastAsia="inherit" w:cs="inherit" w:ascii="Arial" w:hAnsi="Arial"/>
          <w:b/>
          <w:bCs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>I – RELATÓRIO:</w:t>
      </w:r>
    </w:p>
    <w:p>
      <w:pPr>
        <w:pStyle w:val="Normal"/>
        <w:widowControl/>
        <w:spacing w:lineRule="auto" w:line="360" w:before="153" w:after="119"/>
        <w:ind w:left="0" w:right="0" w:hanging="0"/>
        <w:jc w:val="both"/>
        <w:rPr>
          <w:rFonts w:ascii="Arial" w:hAnsi="Arial" w:eastAsia="inherit" w:cs="inherit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</w:pPr>
      <w:r>
        <w:rPr>
          <w:rFonts w:eastAsia="inherit" w:cs="Arial" w:ascii="Arial" w:hAnsi="Arial"/>
          <w:b w:val="false"/>
          <w:bCs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 xml:space="preserve">         </w:t>
      </w:r>
      <w:r>
        <w:rPr>
          <w:rFonts w:eastAsia="inherit" w:cs="Arial" w:ascii="Arial" w:hAnsi="Arial"/>
          <w:b w:val="false"/>
          <w:bCs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 xml:space="preserve">O </w:t>
      </w:r>
      <w:r>
        <w:rPr>
          <w:rFonts w:eastAsia="inherit" w:cs="Arial" w:ascii="Arial" w:hAnsi="Arial"/>
          <w:b w:val="false"/>
          <w:bCs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>Projeto de Lei analisado n°019/2021 COM SUBSTITUTIVO, de autoria da Vereadora Maiara Felício, “DISPÕE SOBRE O FORNECIMENTO DE ABSORVENTE HIGIÊNICO”.</w:t>
      </w:r>
    </w:p>
    <w:p>
      <w:pPr>
        <w:pStyle w:val="Normal"/>
        <w:widowControl/>
        <w:spacing w:lineRule="auto" w:line="360" w:before="150" w:after="120"/>
        <w:jc w:val="both"/>
        <w:rPr>
          <w:rFonts w:ascii="Arial" w:hAnsi="Arial" w:eastAsia="inherit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</w:pPr>
      <w:r>
        <w:rPr>
          <w:rFonts w:eastAsia="inherit" w:cs="Arial" w:ascii="Arial" w:hAnsi="Arial"/>
          <w:b w:val="false"/>
          <w:bCs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 xml:space="preserve">           </w:t>
      </w:r>
      <w:r>
        <w:rPr>
          <w:rFonts w:eastAsia="inherit" w:cs="Arial" w:ascii="Arial" w:hAnsi="Arial"/>
          <w:b w:val="false"/>
          <w:bCs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>A proposição é composta por 6 (seis) artigos e justificativa.</w:t>
      </w:r>
    </w:p>
    <w:p>
      <w:pPr>
        <w:pStyle w:val="Normal"/>
        <w:widowControl/>
        <w:spacing w:lineRule="auto" w:line="360" w:before="150" w:after="120"/>
        <w:jc w:val="both"/>
        <w:rPr>
          <w:rFonts w:ascii="Arial" w:hAnsi="Arial" w:eastAsia="inherit" w:cs="Arial"/>
          <w:b/>
          <w:b/>
          <w:bCs/>
          <w:i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</w:pPr>
      <w:r>
        <w:rPr>
          <w:rFonts w:eastAsia="inherit" w:cs="Arial" w:ascii="Arial" w:hAnsi="Arial"/>
          <w:b/>
          <w:bCs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>II – VOTO:</w:t>
      </w:r>
    </w:p>
    <w:p>
      <w:pPr>
        <w:pStyle w:val="Normal"/>
        <w:widowControl/>
        <w:spacing w:lineRule="auto" w:line="360" w:before="150" w:after="120"/>
        <w:jc w:val="both"/>
        <w:rPr>
          <w:rFonts w:ascii="Arial" w:hAnsi="Arial" w:eastAsia="inherit" w:cs="inherit"/>
          <w:b/>
          <w:b/>
          <w:bCs/>
          <w:i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</w:pPr>
      <w:r>
        <w:rPr>
          <w:rFonts w:eastAsia="inherit" w:cs="Arial" w:ascii="Arial" w:hAnsi="Arial"/>
          <w:b/>
          <w:bCs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 xml:space="preserve">            </w:t>
      </w:r>
      <w:r>
        <w:rPr>
          <w:rFonts w:eastAsia="inherit" w:cs="Arial" w:ascii="Arial" w:hAnsi="Arial"/>
          <w:b/>
          <w:bCs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 xml:space="preserve">CONSIDERANDO </w:t>
      </w:r>
      <w:r>
        <w:rPr>
          <w:rFonts w:eastAsia="inherit" w:cs="Arial" w:ascii="Arial" w:hAnsi="Arial"/>
          <w:b w:val="false"/>
          <w:bCs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 xml:space="preserve">a competência desta Comissão para opinar e emitir parecer sobre proposições e matéria que disponham sobre a assistência social, como no caso desta proposição, prevista mo Art </w:t>
      </w:r>
      <w:r>
        <w:rPr>
          <w:rFonts w:eastAsia="inherit" w:cs="Arial" w:ascii="Arial" w:hAnsi="Arial"/>
          <w:b w:val="false"/>
          <w:bCs w:val="false"/>
          <w:i w:val="false"/>
          <w:iCs w:val="false"/>
          <w:caps w:val="false"/>
          <w:smallCaps w:val="false"/>
          <w:color w:val="1D2129"/>
          <w:spacing w:val="0"/>
          <w:sz w:val="28"/>
          <w:szCs w:val="28"/>
          <w:lang w:val="pt-BR" w:bidi="ar-SA"/>
        </w:rPr>
        <w:t xml:space="preserve">43 do Regimento Interno os termos a seguir: 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Art. 43. Compete à Comissão de Promoção e Assistência Social, da Igualdade Racial e Diversidade Sexual: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I - opinar e emitir parecer sobre as proposições e matérias que abordem: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a) conjunto de políticas de promoção e assistência social, no âmbito do Sistema Único de Assistência Social (SUAS) e da Lei Orgânica da Assistência Social (LOAS);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b) promoção de bem-estar e proteção social a famílias e grupos socioeconômicos e étnicos em situação de vulnerabilidade e risco pessoal;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c) ações e regulações complementares de prestação de serviços de natureza pública e privada no campo da assistência social municipal;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d) medidas de amparo às pessoas que sofrem de abandono e isolamento social;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e) propostas de diagnóstico intersetorial da realidade social do município, com apresentação de indicadores e meios para monitorização social;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f) políticas públicas de igualdade racial e de respeito à diversidade sexual;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g) assuntos referentes a questões étnicas e sociais, em especial na tentativa de inibir ações preconceituosas e de apartação;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II - fiscalizar a aplicação das normas constitucionais aplicáveis, da Lei Federal nº 8.742/1993 (Lei Orgânica da Assistência Social), da Lei Federal nº 10.836/2004 e Decreto nº 5.479/2006 - Programa Bolsa Família), da Lei Federal nº 12.435 (Altera a Lei nº 8.742, de 7 de dezembro de 1993, que dispõe sobre a organização da Assistência Social), da Lei Federal nº 7.716/1989 (Define os crimes resultantes de preconceito de raça ou de cor), da Lei Federal nº 12.288/2010 (Estatuto da Igualdade Racial), da Lei Estadual nº 7.041/2015 (Estabelece penalidades administrativas aos estabelecimentos e agentes públicos que discriminem as pessoas por preconceito de sexo e orientação sexual e dá outras providências), da Lei Municipal nº 3.892/11 (Proíbe qualquer forma de discriminação a pessoas em razão de sua orientação sexual e dá outras providências), dos recursos e programas do Fundo Municipal de Assistência Social e das demais legislações específicas relacionadas às matérias desta Comissão;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III - acompanhar e avaliar a gestão dos recursos, bem como os ganhos sociais e o desempenho dos programas e projetos em execução no Município;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lang w:val="pt-BR" w:bidi="ar-SA"/>
        </w:rPr>
        <w:t>IV - acompanhar a fiscalização do Executivo Municipal em relação à disponibilização e à aplicação de verbas por ele subvencionadas a instituições vinculadas à promoção e à assistência social e a outra atividade com temática própria desta Comissão.</w:t>
      </w:r>
    </w:p>
    <w:p>
      <w:pPr>
        <w:pStyle w:val="Normal"/>
        <w:widowControl/>
        <w:spacing w:lineRule="auto" w:line="360" w:before="150" w:after="120"/>
        <w:ind w:left="2832" w:right="0" w:hanging="0"/>
        <w:jc w:val="left"/>
        <w:rPr>
          <w:rFonts w:ascii="Arial" w:hAnsi="Arial" w:eastAsia="Times New Roman" w:cs="Arial"/>
          <w:b w:val="false"/>
          <w:b w:val="false"/>
          <w:bCs w:val="false"/>
          <w:i/>
          <w:i/>
          <w:iCs/>
          <w:color w:val="000000"/>
          <w:sz w:val="16"/>
          <w:szCs w:val="16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16"/>
          <w:szCs w:val="16"/>
          <w:lang w:val="pt-BR" w:bidi="ar-SA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  <w:t xml:space="preserve">     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bidi="ar-SA"/>
        </w:rPr>
        <w:t xml:space="preserve">     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bidi="ar-SA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bidi="ar-SA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bidi="ar-SA"/>
        </w:rPr>
        <w:t xml:space="preserve">                </w:t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8"/>
          <w:szCs w:val="28"/>
          <w:lang w:val="pt-BR" w:bidi="ar-SA"/>
        </w:rPr>
        <w:t xml:space="preserve">           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8"/>
          <w:szCs w:val="28"/>
          <w:lang w:val="pt-BR" w:bidi="ar-SA"/>
        </w:rPr>
        <w:t>CONSIDERANDO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que o fornecimento de absorventes higiênicos para mulheres, adolescentes e pessoas que menstruam em situação de hipossuficiência econômica e social é uma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8"/>
          <w:szCs w:val="28"/>
          <w:u w:val="single"/>
          <w:lang w:val="pt-BR" w:bidi="ar-SA"/>
        </w:rPr>
        <w:t>questão de assistência social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pt-BR" w:bidi="ar-SA"/>
        </w:rPr>
        <w:t xml:space="preserve">,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pt-BR" w:bidi="ar-SA"/>
        </w:rPr>
        <w:t xml:space="preserve">visto também que de acordo com a Organização das Nações Unidas (ONU), o acesso à higiene menstrual é tido como um direito. </w:t>
      </w:r>
    </w:p>
    <w:p>
      <w:pPr>
        <w:pStyle w:val="Normal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pt-BR" w:bidi="ar-SA"/>
        </w:rPr>
      </w:r>
    </w:p>
    <w:p>
      <w:pPr>
        <w:pStyle w:val="Normal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pt-BR" w:bidi="ar-SA"/>
        </w:rPr>
      </w:r>
    </w:p>
    <w:p>
      <w:pPr>
        <w:pStyle w:val="Normal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pt-BR" w:bidi="ar-SA"/>
        </w:rPr>
      </w:r>
    </w:p>
    <w:p>
      <w:pPr>
        <w:pStyle w:val="Normal"/>
        <w:jc w:val="both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pt-BR" w:bidi="ar-SA"/>
        </w:rPr>
        <w:t xml:space="preserve">   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8"/>
          <w:szCs w:val="28"/>
          <w:u w:val="none"/>
          <w:lang w:val="pt-BR" w:bidi="ar-SA"/>
        </w:rPr>
        <w:t>OPINO FAVORAVELMENTE AO PROSSEGUIMENTO DA PRESENTE PROPOSIÇÃO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pt-BR" w:bidi="ar-SA"/>
        </w:rPr>
        <w:t>, devendo a análise quanto à constitucionalidade e legalidade ser feita, oportunamente , pela Comissão de Constituição e Justiça e de Cidadania (CCJC) desta Casa de Leis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>Nova Friburgo, 21 de Fevereiro de 2022</w:t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 </w:t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____________________ </w:t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Professor André </w:t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Vice-Presidente da Comissão de Promoção e Assistência Social, da Igualdade Racial e da Diversidade Sexual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(CPASIRDS) 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</w:r>
    </w:p>
    <w:p>
      <w:pPr>
        <w:pStyle w:val="Normal"/>
        <w:jc w:val="left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____________________                                ____________________  </w:t>
      </w:r>
    </w:p>
    <w:p>
      <w:pPr>
        <w:pStyle w:val="Normal"/>
        <w:jc w:val="left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       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>Maiara Felício                                                   Priscilla Pitta</w:t>
      </w:r>
    </w:p>
    <w:p>
      <w:pPr>
        <w:pStyle w:val="Normal"/>
        <w:jc w:val="left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lang w:val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         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Presidenta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 xml:space="preserve">                                                      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8"/>
          <w:szCs w:val="28"/>
          <w:lang w:val="pt-BR" w:bidi="ar-SA"/>
        </w:rPr>
        <w:t>Secretária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i/>
          <w:i/>
          <w:iCs/>
          <w:color w:val="000000"/>
          <w:sz w:val="24"/>
          <w:szCs w:val="24"/>
          <w:lang w:val="pt-BR" w:bidi="ar-SA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4"/>
          <w:szCs w:val="24"/>
          <w:lang w:val="pt-BR" w:bidi="ar-SA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2179" w:footer="414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8" w:space="1" w:color="000000"/>
      </w:pBdr>
      <w:rPr>
        <w:rFonts w:eastAsia="Times New Roman" w:cs="Times New Roman"/>
        <w:color w:val="auto"/>
        <w:sz w:val="24"/>
        <w:szCs w:val="24"/>
        <w:lang w:val="pt-BR" w:bidi="ar-SA"/>
      </w:rPr>
    </w:pPr>
    <w:r>
      <w:rPr>
        <w:rFonts w:eastAsia="Times New Roman" w:cs="Times New Roman"/>
        <w:color w:val="auto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ascii="Arial" w:hAnsi="Arial" w:eastAsia="Times New Roman" w:cs="Arial"/>
        <w:color w:val="auto"/>
        <w:sz w:val="16"/>
        <w:szCs w:val="16"/>
        <w:lang w:val="pt-BR" w:bidi="ar-SA"/>
      </w:rPr>
    </w:pPr>
    <w:r>
      <w:rPr>
        <w:rFonts w:eastAsia="Times New Roman" w:cs="Arial" w:ascii="Arial" w:hAnsi="Arial"/>
        <w:color w:val="auto"/>
        <w:sz w:val="16"/>
        <w:szCs w:val="16"/>
        <w:lang w:val="pt-BR" w:bidi="ar-SA"/>
      </w:rPr>
      <w:t>Rua Farinha Filho, 50 – Centro – Nova Friburgo – RJ – CEP 28.610-280 – Telefone: (22) 25</w:t>
    </w:r>
    <w:r>
      <w:rPr>
        <w:rFonts w:eastAsia="Times New Roman" w:cs="Arial" w:ascii="Arial" w:hAnsi="Arial"/>
        <w:color w:val="auto"/>
        <w:sz w:val="16"/>
        <w:szCs w:val="16"/>
        <w:lang w:val="pt-BR" w:bidi="ar-SA"/>
      </w:rPr>
      <w:t>24</w:t>
    </w:r>
    <w:r>
      <w:rPr>
        <w:rFonts w:eastAsia="Times New Roman" w:cs="Arial" w:ascii="Arial" w:hAnsi="Arial"/>
        <w:color w:val="auto"/>
        <w:sz w:val="16"/>
        <w:szCs w:val="16"/>
        <w:lang w:val="pt-BR" w:bidi="ar-SA"/>
      </w:rPr>
      <w:t>-</w:t>
    </w:r>
    <w:r>
      <w:rPr>
        <w:rFonts w:eastAsia="Times New Roman" w:cs="Arial" w:ascii="Arial" w:hAnsi="Arial"/>
        <w:color w:val="auto"/>
        <w:sz w:val="16"/>
        <w:szCs w:val="16"/>
        <w:lang w:val="pt-BR" w:bidi="ar-SA"/>
      </w:rPr>
      <w:t xml:space="preserve">1700 </w:t>
    </w:r>
    <w:r>
      <w:rPr>
        <w:rFonts w:eastAsia="Times New Roman" w:cs="Arial" w:ascii="Arial" w:hAnsi="Arial"/>
        <w:color w:val="auto"/>
        <w:sz w:val="16"/>
        <w:szCs w:val="16"/>
        <w:lang w:val="pt-BR" w:bidi="ar-SA"/>
      </w:rPr>
      <w:t>http://www.</w:t>
    </w:r>
    <w:r>
      <w:rPr>
        <w:rFonts w:eastAsia="Times New Roman" w:cs="Arial" w:ascii="Arial" w:hAnsi="Arial"/>
        <w:color w:val="auto"/>
        <w:sz w:val="16"/>
        <w:szCs w:val="16"/>
        <w:lang w:val="pt-BR" w:bidi="ar-SA"/>
      </w:rPr>
      <w:t>novafriburgo.rj.leg.</w:t>
    </w:r>
    <w:r>
      <w:rPr>
        <w:rFonts w:eastAsia="Times New Roman" w:cs="Arial" w:ascii="Arial" w:hAnsi="Arial"/>
        <w:color w:val="auto"/>
        <w:sz w:val="16"/>
        <w:szCs w:val="16"/>
        <w:lang w:val="pt-BR" w:bidi="ar-SA"/>
      </w:rPr>
      <w:t>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-242570</wp:posOffset>
          </wp:positionH>
          <wp:positionV relativeFrom="paragraph">
            <wp:posOffset>-278765</wp:posOffset>
          </wp:positionV>
          <wp:extent cx="669290" cy="95440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alho"/>
      <w:tabs>
        <w:tab w:val="left" w:pos="1710" w:leader="none"/>
      </w:tabs>
      <w:rPr/>
    </w:pPr>
    <w:r>
      <w:rPr>
        <w:rFonts w:ascii="Arial Rounded MT Bold" w:hAnsi="Arial Rounded MT Bold"/>
        <w:sz w:val="32"/>
        <w:szCs w:val="32"/>
      </w:rPr>
      <w:t xml:space="preserve">                </w:t>
    </w:r>
    <w:r>
      <w:rPr>
        <w:rFonts w:ascii="Arial Rounded MT Bold" w:hAnsi="Arial Rounded MT Bold"/>
        <w:sz w:val="32"/>
        <w:szCs w:val="32"/>
      </w:rPr>
      <w:tab/>
    </w:r>
    <w:r>
      <w:rPr>
        <w:rFonts w:ascii="Arial" w:hAnsi="Arial"/>
        <w:b/>
        <w:bCs/>
        <w:sz w:val="32"/>
        <w:szCs w:val="32"/>
      </w:rPr>
      <w:t>CÂMARA MUNICIPAL DE NOVA FRIBURGO</w:t>
    </w:r>
  </w:p>
  <w:p>
    <w:pPr>
      <w:pStyle w:val="Cabealho"/>
      <w:tabs>
        <w:tab w:val="left" w:pos="1710" w:leader="none"/>
      </w:tabs>
      <w:rPr/>
    </w:pPr>
    <w:r>
      <w:rPr/>
      <w:t xml:space="preserve">                            </w:t>
    </w:r>
    <w:r>
      <w:rPr/>
      <w:tab/>
    </w:r>
    <w:r>
      <w:rPr>
        <w:rFonts w:cs="Arial" w:ascii="Arial" w:hAnsi="Arial"/>
        <w:b/>
      </w:rPr>
      <w:t>ESTADO DO RIO DE JANEIRO</w:t>
    </w:r>
  </w:p>
  <w:p>
    <w:pPr>
      <w:pStyle w:val="Cabealho"/>
      <w:tabs>
        <w:tab w:val="left" w:pos="1710" w:leader="none"/>
      </w:tabs>
      <w:jc w:val="center"/>
      <w:rPr>
        <w:rFonts w:ascii="Arial" w:hAnsi="Arial" w:eastAsia="Times New Roman" w:cs="Arial"/>
        <w:b/>
        <w:b/>
        <w:bCs/>
        <w:i/>
        <w:i/>
        <w:iCs/>
        <w:color w:val="000000"/>
        <w:sz w:val="24"/>
        <w:szCs w:val="24"/>
        <w:lang w:val="pt-BR" w:bidi="ar-SA"/>
      </w:rPr>
    </w:pPr>
    <w:r>
      <w:rPr>
        <w:rFonts w:eastAsia="Times New Roman" w:cs="Arial" w:ascii="Arial" w:hAnsi="Arial"/>
        <w:b/>
        <w:bCs/>
        <w:i/>
        <w:iCs/>
        <w:color w:val="000000"/>
        <w:sz w:val="24"/>
        <w:szCs w:val="24"/>
        <w:lang w:val="pt-BR" w:bidi="ar-SA"/>
      </w:rPr>
      <w:t xml:space="preserve">                         </w:t>
    </w:r>
    <w:r>
      <w:rPr>
        <w:rFonts w:eastAsia="Times New Roman" w:cs="Arial" w:ascii="Arial" w:hAnsi="Arial"/>
        <w:b/>
        <w:bCs/>
        <w:i/>
        <w:iCs/>
        <w:color w:val="000000"/>
        <w:sz w:val="24"/>
        <w:szCs w:val="24"/>
        <w:lang w:val="pt-BR" w:bidi="ar-SA"/>
      </w:rPr>
      <w:t>Comissão de Promoção e Assistência Social, da Igualdade                          Racial e da Diversidade Sexual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DejaVuSans" w:cs="Tahoma"/>
        <w:szCs w:val="24"/>
        <w:lang w:val="pt-BR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BR" w:eastAsia="zxx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rFonts w:ascii="Times New Roman" w:hAnsi="Times New Roman"/>
      <w:b/>
      <w:bCs/>
      <w:sz w:val="29"/>
      <w:szCs w:val="36"/>
    </w:rPr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LibreOffice/6.1.0.3$Windows_X86_64 LibreOffice_project/efb621ed25068d70781dc026f7e9c5187a4decd1</Application>
  <Pages>3</Pages>
  <Words>607</Words>
  <CharactersWithSpaces>4383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2022-02-18T13:51:24Z</dcterms:created>
  <dc:creator/>
  <dc:description/>
  <dc:language>pt-BR</dc:language>
  <cp:lastModifiedBy/>
  <cp:lastPrinted>2022-02-18T14:03:52Z</cp:lastPrinted>
  <dcterms:modified xsi:type="dcterms:W3CDTF">2022-02-21T11:21:33Z</dcterms:modified>
  <cp:revision>3</cp:revision>
  <dc:subject/>
  <dc:title>Atesto de serviços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