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6A" w:rsidRPr="00766FD5" w:rsidRDefault="00766FD5">
      <w:pPr>
        <w:pStyle w:val="Corpodetexto"/>
        <w:spacing w:before="51" w:line="288" w:lineRule="auto"/>
        <w:ind w:left="3167" w:right="3253" w:firstLine="242"/>
        <w:rPr>
          <w:lang w:val="pt-BR"/>
        </w:rPr>
      </w:pPr>
      <w:r w:rsidRPr="00766FD5">
        <w:rPr>
          <w:lang w:val="pt-BR"/>
        </w:rPr>
        <w:t>MUNICÍPIO DE NOVA FRIBURGO LEI DE DIRETRIZES ORÇAMENTÁRIAS</w:t>
      </w:r>
    </w:p>
    <w:p w:rsidR="001D1B6A" w:rsidRPr="00766FD5" w:rsidRDefault="00766FD5">
      <w:pPr>
        <w:pStyle w:val="Corpodetexto"/>
        <w:spacing w:line="288" w:lineRule="auto"/>
        <w:jc w:val="center"/>
        <w:rPr>
          <w:lang w:val="pt-BR"/>
        </w:rPr>
      </w:pPr>
      <w:r w:rsidRPr="00766FD5">
        <w:rPr>
          <w:lang w:val="pt-BR"/>
        </w:rPr>
        <w:t xml:space="preserve">ANEXO DE METAS </w:t>
      </w:r>
      <w:proofErr w:type="gramStart"/>
      <w:r w:rsidRPr="00766FD5">
        <w:rPr>
          <w:lang w:val="pt-BR"/>
        </w:rPr>
        <w:t>FISCAIS DEMONSTRATIVO IV</w:t>
      </w:r>
      <w:proofErr w:type="gramEnd"/>
    </w:p>
    <w:p w:rsidR="001D1B6A" w:rsidRDefault="00766FD5">
      <w:pPr>
        <w:pStyle w:val="Corpodetexto"/>
        <w:spacing w:line="288" w:lineRule="auto"/>
        <w:jc w:val="center"/>
        <w:rPr>
          <w:lang w:val="pt-BR"/>
        </w:rPr>
      </w:pPr>
      <w:r w:rsidRPr="00766FD5">
        <w:rPr>
          <w:lang w:val="pt-BR"/>
        </w:rPr>
        <w:t xml:space="preserve">EVOLUÇÃO DO PATRIMÔNIO LÍQUIDO </w:t>
      </w:r>
    </w:p>
    <w:p w:rsidR="00341674" w:rsidRPr="00766FD5" w:rsidRDefault="00341674">
      <w:pPr>
        <w:pStyle w:val="Corpodetexto"/>
        <w:spacing w:line="288" w:lineRule="auto"/>
        <w:jc w:val="center"/>
        <w:rPr>
          <w:lang w:val="pt-BR"/>
        </w:rPr>
      </w:pPr>
      <w:r>
        <w:rPr>
          <w:lang w:val="pt-BR"/>
        </w:rPr>
        <w:t>201</w:t>
      </w:r>
      <w:r w:rsidR="00E460BB">
        <w:rPr>
          <w:lang w:val="pt-BR"/>
        </w:rPr>
        <w:t>9</w:t>
      </w:r>
    </w:p>
    <w:p w:rsidR="001D1B6A" w:rsidRPr="00766FD5" w:rsidRDefault="001D1B6A">
      <w:pPr>
        <w:spacing w:before="7"/>
        <w:rPr>
          <w:b/>
          <w:sz w:val="12"/>
          <w:lang w:val="pt-BR"/>
        </w:rPr>
      </w:pPr>
    </w:p>
    <w:p w:rsidR="001D1B6A" w:rsidRPr="00766FD5" w:rsidRDefault="00766FD5">
      <w:pPr>
        <w:tabs>
          <w:tab w:val="left" w:pos="7945"/>
        </w:tabs>
        <w:spacing w:before="82" w:after="11"/>
        <w:ind w:left="147"/>
        <w:rPr>
          <w:sz w:val="15"/>
          <w:lang w:val="pt-BR"/>
        </w:rPr>
      </w:pPr>
      <w:r w:rsidRPr="00766FD5">
        <w:rPr>
          <w:sz w:val="15"/>
          <w:lang w:val="pt-BR"/>
        </w:rPr>
        <w:t>LRF, art. 4°,§2°,</w:t>
      </w:r>
      <w:r w:rsidRPr="00766FD5">
        <w:rPr>
          <w:spacing w:val="9"/>
          <w:sz w:val="15"/>
          <w:lang w:val="pt-BR"/>
        </w:rPr>
        <w:t xml:space="preserve"> </w:t>
      </w:r>
      <w:r w:rsidRPr="00766FD5">
        <w:rPr>
          <w:sz w:val="15"/>
          <w:lang w:val="pt-BR"/>
        </w:rPr>
        <w:t>inciso</w:t>
      </w:r>
      <w:r w:rsidRPr="00766FD5">
        <w:rPr>
          <w:spacing w:val="2"/>
          <w:sz w:val="15"/>
          <w:lang w:val="pt-BR"/>
        </w:rPr>
        <w:t xml:space="preserve"> </w:t>
      </w:r>
      <w:r w:rsidRPr="00766FD5">
        <w:rPr>
          <w:sz w:val="15"/>
          <w:lang w:val="pt-BR"/>
        </w:rPr>
        <w:t>III</w:t>
      </w:r>
      <w:r w:rsidRPr="00766FD5">
        <w:rPr>
          <w:sz w:val="15"/>
          <w:lang w:val="pt-BR"/>
        </w:rPr>
        <w:tab/>
        <w:t>R$</w:t>
      </w:r>
      <w:r w:rsidRPr="00766FD5">
        <w:rPr>
          <w:spacing w:val="3"/>
          <w:sz w:val="15"/>
          <w:lang w:val="pt-BR"/>
        </w:rPr>
        <w:t xml:space="preserve"> </w:t>
      </w:r>
      <w:proofErr w:type="gramStart"/>
      <w:r w:rsidRPr="00766FD5">
        <w:rPr>
          <w:sz w:val="15"/>
          <w:lang w:val="pt-BR"/>
        </w:rPr>
        <w:t>milhares</w:t>
      </w:r>
      <w:proofErr w:type="gramEnd"/>
    </w:p>
    <w:tbl>
      <w:tblPr>
        <w:tblStyle w:val="TableNormal"/>
        <w:tblW w:w="0" w:type="auto"/>
        <w:tblInd w:w="10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/>
      </w:tblPr>
      <w:tblGrid>
        <w:gridCol w:w="2143"/>
        <w:gridCol w:w="1615"/>
        <w:gridCol w:w="845"/>
        <w:gridCol w:w="1534"/>
        <w:gridCol w:w="955"/>
        <w:gridCol w:w="1597"/>
        <w:gridCol w:w="666"/>
      </w:tblGrid>
      <w:tr w:rsidR="001D1B6A" w:rsidTr="002D72C9">
        <w:trPr>
          <w:trHeight w:hRule="exact" w:val="221"/>
        </w:trPr>
        <w:tc>
          <w:tcPr>
            <w:tcW w:w="2143" w:type="dxa"/>
            <w:shd w:val="clear" w:color="auto" w:fill="C5D9F1"/>
          </w:tcPr>
          <w:p w:rsidR="001D1B6A" w:rsidRDefault="00766FD5">
            <w:pPr>
              <w:pStyle w:val="TableParagraph"/>
              <w:ind w:left="23"/>
              <w:jc w:val="left"/>
              <w:rPr>
                <w:sz w:val="17"/>
              </w:rPr>
            </w:pPr>
            <w:r>
              <w:rPr>
                <w:sz w:val="17"/>
              </w:rPr>
              <w:t>PATRIMÔNIO LÍQUIDO</w:t>
            </w:r>
          </w:p>
        </w:tc>
        <w:tc>
          <w:tcPr>
            <w:tcW w:w="1615" w:type="dxa"/>
            <w:shd w:val="clear" w:color="auto" w:fill="C5D9F1"/>
          </w:tcPr>
          <w:p w:rsidR="001D1B6A" w:rsidRDefault="00E460BB">
            <w:pPr>
              <w:pStyle w:val="TableParagraph"/>
              <w:ind w:left="597" w:right="582"/>
              <w:jc w:val="center"/>
              <w:rPr>
                <w:sz w:val="17"/>
              </w:rPr>
            </w:pPr>
            <w:r>
              <w:rPr>
                <w:sz w:val="17"/>
              </w:rPr>
              <w:t>2017</w:t>
            </w:r>
          </w:p>
        </w:tc>
        <w:tc>
          <w:tcPr>
            <w:tcW w:w="845" w:type="dxa"/>
            <w:shd w:val="clear" w:color="auto" w:fill="C5D9F1"/>
          </w:tcPr>
          <w:p w:rsidR="001D1B6A" w:rsidRDefault="00766FD5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%</w:t>
            </w:r>
          </w:p>
        </w:tc>
        <w:tc>
          <w:tcPr>
            <w:tcW w:w="1534" w:type="dxa"/>
            <w:shd w:val="clear" w:color="auto" w:fill="C5D9F1"/>
          </w:tcPr>
          <w:p w:rsidR="001D1B6A" w:rsidRDefault="00E460BB">
            <w:pPr>
              <w:pStyle w:val="TableParagraph"/>
              <w:ind w:left="566" w:right="551"/>
              <w:jc w:val="center"/>
              <w:rPr>
                <w:sz w:val="17"/>
              </w:rPr>
            </w:pPr>
            <w:r>
              <w:rPr>
                <w:sz w:val="17"/>
              </w:rPr>
              <w:t>2016</w:t>
            </w:r>
          </w:p>
        </w:tc>
        <w:tc>
          <w:tcPr>
            <w:tcW w:w="955" w:type="dxa"/>
            <w:shd w:val="clear" w:color="auto" w:fill="C5D9F1"/>
          </w:tcPr>
          <w:p w:rsidR="001D1B6A" w:rsidRDefault="00766FD5">
            <w:pPr>
              <w:pStyle w:val="TableParagraph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%</w:t>
            </w:r>
          </w:p>
        </w:tc>
        <w:tc>
          <w:tcPr>
            <w:tcW w:w="1597" w:type="dxa"/>
            <w:shd w:val="clear" w:color="auto" w:fill="C5D9F1"/>
          </w:tcPr>
          <w:p w:rsidR="001D1B6A" w:rsidRDefault="00E460BB">
            <w:pPr>
              <w:pStyle w:val="TableParagraph"/>
              <w:ind w:left="520"/>
              <w:jc w:val="left"/>
              <w:rPr>
                <w:sz w:val="17"/>
              </w:rPr>
            </w:pPr>
            <w:r>
              <w:rPr>
                <w:sz w:val="17"/>
              </w:rPr>
              <w:t>2015</w:t>
            </w:r>
          </w:p>
        </w:tc>
        <w:tc>
          <w:tcPr>
            <w:tcW w:w="666" w:type="dxa"/>
            <w:shd w:val="clear" w:color="auto" w:fill="C5D9F1"/>
          </w:tcPr>
          <w:p w:rsidR="001D1B6A" w:rsidRDefault="00766FD5">
            <w:pPr>
              <w:pStyle w:val="TableParagraph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%</w:t>
            </w:r>
          </w:p>
        </w:tc>
      </w:tr>
      <w:tr w:rsidR="001D1B6A" w:rsidTr="002D72C9">
        <w:trPr>
          <w:trHeight w:hRule="exact" w:val="227"/>
        </w:trPr>
        <w:tc>
          <w:tcPr>
            <w:tcW w:w="2143" w:type="dxa"/>
            <w:tcBorders>
              <w:bottom w:val="nil"/>
            </w:tcBorders>
          </w:tcPr>
          <w:p w:rsidR="001D1B6A" w:rsidRDefault="00766FD5">
            <w:pPr>
              <w:pStyle w:val="TableParagraph"/>
              <w:ind w:left="2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Patrimônio</w:t>
            </w:r>
            <w:proofErr w:type="spellEnd"/>
            <w:r>
              <w:rPr>
                <w:sz w:val="17"/>
              </w:rPr>
              <w:t>/Capital</w:t>
            </w:r>
          </w:p>
        </w:tc>
        <w:tc>
          <w:tcPr>
            <w:tcW w:w="1615" w:type="dxa"/>
            <w:tcBorders>
              <w:bottom w:val="nil"/>
            </w:tcBorders>
          </w:tcPr>
          <w:p w:rsidR="00B4089C" w:rsidRDefault="006A3AB3">
            <w:pPr>
              <w:pStyle w:val="TableParagraph"/>
              <w:ind w:right="79"/>
              <w:rPr>
                <w:sz w:val="17"/>
              </w:rPr>
            </w:pPr>
            <w:r>
              <w:rPr>
                <w:sz w:val="17"/>
              </w:rPr>
              <w:t>2.258.505,54</w:t>
            </w:r>
          </w:p>
          <w:p w:rsidR="00A30362" w:rsidRDefault="00A30362">
            <w:pPr>
              <w:pStyle w:val="TableParagraph"/>
              <w:ind w:right="79"/>
              <w:rPr>
                <w:sz w:val="17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1D1B6A" w:rsidRDefault="00766FD5">
            <w:pPr>
              <w:pStyle w:val="TableParagraph"/>
              <w:ind w:right="21"/>
              <w:rPr>
                <w:sz w:val="17"/>
              </w:rPr>
            </w:pPr>
            <w:r>
              <w:rPr>
                <w:sz w:val="17"/>
              </w:rPr>
              <w:t>100,00%</w:t>
            </w:r>
          </w:p>
        </w:tc>
        <w:tc>
          <w:tcPr>
            <w:tcW w:w="1534" w:type="dxa"/>
            <w:tcBorders>
              <w:bottom w:val="nil"/>
            </w:tcBorders>
          </w:tcPr>
          <w:p w:rsidR="001D1B6A" w:rsidRDefault="006A3AB3" w:rsidP="00B350BA">
            <w:pPr>
              <w:pStyle w:val="TableParagraph"/>
              <w:ind w:right="78"/>
              <w:rPr>
                <w:sz w:val="17"/>
              </w:rPr>
            </w:pPr>
            <w:r>
              <w:rPr>
                <w:sz w:val="17"/>
              </w:rPr>
              <w:t>1.701.418,59</w:t>
            </w:r>
          </w:p>
        </w:tc>
        <w:tc>
          <w:tcPr>
            <w:tcW w:w="955" w:type="dxa"/>
            <w:tcBorders>
              <w:bottom w:val="nil"/>
            </w:tcBorders>
          </w:tcPr>
          <w:p w:rsidR="001D1B6A" w:rsidRDefault="00766FD5">
            <w:pPr>
              <w:pStyle w:val="TableParagraph"/>
              <w:ind w:right="21"/>
              <w:rPr>
                <w:sz w:val="17"/>
              </w:rPr>
            </w:pPr>
            <w:r>
              <w:rPr>
                <w:sz w:val="17"/>
              </w:rPr>
              <w:t>100,00%</w:t>
            </w:r>
          </w:p>
        </w:tc>
        <w:tc>
          <w:tcPr>
            <w:tcW w:w="1597" w:type="dxa"/>
            <w:tcBorders>
              <w:bottom w:val="nil"/>
            </w:tcBorders>
          </w:tcPr>
          <w:p w:rsidR="001D1B6A" w:rsidRDefault="006A3AB3">
            <w:pPr>
              <w:pStyle w:val="TableParagraph"/>
              <w:ind w:left="475"/>
              <w:jc w:val="left"/>
              <w:rPr>
                <w:sz w:val="17"/>
              </w:rPr>
            </w:pPr>
            <w:r>
              <w:rPr>
                <w:sz w:val="17"/>
              </w:rPr>
              <w:t>1.572.043,27</w:t>
            </w:r>
          </w:p>
        </w:tc>
        <w:tc>
          <w:tcPr>
            <w:tcW w:w="666" w:type="dxa"/>
            <w:tcBorders>
              <w:bottom w:val="nil"/>
            </w:tcBorders>
          </w:tcPr>
          <w:p w:rsidR="001D1B6A" w:rsidRDefault="00766FD5">
            <w:pPr>
              <w:pStyle w:val="TableParagraph"/>
              <w:ind w:right="21"/>
              <w:rPr>
                <w:sz w:val="17"/>
              </w:rPr>
            </w:pPr>
            <w:r>
              <w:rPr>
                <w:sz w:val="17"/>
              </w:rPr>
              <w:t>100,00%</w:t>
            </w:r>
          </w:p>
        </w:tc>
      </w:tr>
      <w:tr w:rsidR="001D1B6A" w:rsidTr="002D72C9">
        <w:trPr>
          <w:trHeight w:hRule="exact" w:val="221"/>
        </w:trPr>
        <w:tc>
          <w:tcPr>
            <w:tcW w:w="2143" w:type="dxa"/>
            <w:tcBorders>
              <w:top w:val="nil"/>
              <w:bottom w:val="nil"/>
            </w:tcBorders>
          </w:tcPr>
          <w:p w:rsidR="001D1B6A" w:rsidRDefault="00766FD5">
            <w:pPr>
              <w:pStyle w:val="TableParagraph"/>
              <w:spacing w:before="4"/>
              <w:ind w:left="2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Reservas</w:t>
            </w:r>
            <w:proofErr w:type="spellEnd"/>
          </w:p>
        </w:tc>
        <w:tc>
          <w:tcPr>
            <w:tcW w:w="1615" w:type="dxa"/>
            <w:tcBorders>
              <w:top w:val="nil"/>
              <w:bottom w:val="nil"/>
            </w:tcBorders>
          </w:tcPr>
          <w:p w:rsidR="001D1B6A" w:rsidRDefault="00766FD5">
            <w:pPr>
              <w:pStyle w:val="TableParagraph"/>
              <w:spacing w:before="4"/>
              <w:ind w:right="26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1D1B6A" w:rsidRDefault="00766FD5">
            <w:pPr>
              <w:pStyle w:val="TableParagraph"/>
              <w:spacing w:before="4"/>
              <w:ind w:right="22"/>
              <w:rPr>
                <w:sz w:val="17"/>
              </w:rPr>
            </w:pPr>
            <w:r>
              <w:rPr>
                <w:sz w:val="17"/>
              </w:rPr>
              <w:t>0,00%</w:t>
            </w:r>
          </w:p>
        </w:tc>
        <w:tc>
          <w:tcPr>
            <w:tcW w:w="1534" w:type="dxa"/>
            <w:tcBorders>
              <w:top w:val="nil"/>
              <w:bottom w:val="nil"/>
            </w:tcBorders>
          </w:tcPr>
          <w:p w:rsidR="001D1B6A" w:rsidRDefault="00766FD5">
            <w:pPr>
              <w:pStyle w:val="TableParagraph"/>
              <w:spacing w:before="4"/>
              <w:ind w:right="26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55" w:type="dxa"/>
            <w:tcBorders>
              <w:top w:val="nil"/>
              <w:bottom w:val="nil"/>
            </w:tcBorders>
          </w:tcPr>
          <w:p w:rsidR="001D1B6A" w:rsidRDefault="00766FD5">
            <w:pPr>
              <w:pStyle w:val="TableParagraph"/>
              <w:spacing w:before="4"/>
              <w:ind w:right="22"/>
              <w:rPr>
                <w:sz w:val="17"/>
              </w:rPr>
            </w:pPr>
            <w:r>
              <w:rPr>
                <w:sz w:val="17"/>
              </w:rPr>
              <w:t>0,00%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1D1B6A" w:rsidRDefault="00766FD5">
            <w:pPr>
              <w:pStyle w:val="TableParagraph"/>
              <w:spacing w:before="4"/>
              <w:ind w:right="26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66" w:type="dxa"/>
            <w:tcBorders>
              <w:top w:val="nil"/>
              <w:bottom w:val="nil"/>
            </w:tcBorders>
          </w:tcPr>
          <w:p w:rsidR="001D1B6A" w:rsidRDefault="00766FD5">
            <w:pPr>
              <w:pStyle w:val="TableParagraph"/>
              <w:spacing w:before="4"/>
              <w:ind w:right="22"/>
              <w:rPr>
                <w:sz w:val="17"/>
              </w:rPr>
            </w:pPr>
            <w:r>
              <w:rPr>
                <w:sz w:val="17"/>
              </w:rPr>
              <w:t>0,00%</w:t>
            </w:r>
          </w:p>
        </w:tc>
      </w:tr>
      <w:tr w:rsidR="001D1B6A" w:rsidTr="002D72C9">
        <w:trPr>
          <w:trHeight w:hRule="exact" w:val="215"/>
        </w:trPr>
        <w:tc>
          <w:tcPr>
            <w:tcW w:w="2143" w:type="dxa"/>
            <w:tcBorders>
              <w:top w:val="nil"/>
            </w:tcBorders>
          </w:tcPr>
          <w:p w:rsidR="001D1B6A" w:rsidRDefault="00766FD5">
            <w:pPr>
              <w:pStyle w:val="TableParagraph"/>
              <w:spacing w:before="4"/>
              <w:ind w:left="2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Resultado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Acumulado</w:t>
            </w:r>
            <w:proofErr w:type="spellEnd"/>
          </w:p>
        </w:tc>
        <w:tc>
          <w:tcPr>
            <w:tcW w:w="1615" w:type="dxa"/>
            <w:tcBorders>
              <w:top w:val="nil"/>
            </w:tcBorders>
          </w:tcPr>
          <w:p w:rsidR="001D1B6A" w:rsidRDefault="00766FD5">
            <w:pPr>
              <w:pStyle w:val="TableParagraph"/>
              <w:spacing w:before="4"/>
              <w:ind w:right="267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845" w:type="dxa"/>
            <w:tcBorders>
              <w:top w:val="nil"/>
            </w:tcBorders>
          </w:tcPr>
          <w:p w:rsidR="001D1B6A" w:rsidRDefault="00766FD5">
            <w:pPr>
              <w:pStyle w:val="TableParagraph"/>
              <w:spacing w:before="4"/>
              <w:ind w:right="22"/>
              <w:rPr>
                <w:sz w:val="17"/>
              </w:rPr>
            </w:pPr>
            <w:r>
              <w:rPr>
                <w:sz w:val="17"/>
              </w:rPr>
              <w:t>0,00%</w:t>
            </w:r>
          </w:p>
        </w:tc>
        <w:tc>
          <w:tcPr>
            <w:tcW w:w="1534" w:type="dxa"/>
            <w:tcBorders>
              <w:top w:val="nil"/>
            </w:tcBorders>
          </w:tcPr>
          <w:p w:rsidR="001D1B6A" w:rsidRDefault="00766FD5">
            <w:pPr>
              <w:pStyle w:val="TableParagraph"/>
              <w:spacing w:before="4"/>
              <w:ind w:right="26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955" w:type="dxa"/>
            <w:tcBorders>
              <w:top w:val="nil"/>
            </w:tcBorders>
          </w:tcPr>
          <w:p w:rsidR="001D1B6A" w:rsidRDefault="00766FD5">
            <w:pPr>
              <w:pStyle w:val="TableParagraph"/>
              <w:spacing w:before="4"/>
              <w:ind w:right="22"/>
              <w:rPr>
                <w:sz w:val="17"/>
              </w:rPr>
            </w:pPr>
            <w:r>
              <w:rPr>
                <w:sz w:val="17"/>
              </w:rPr>
              <w:t>0,00%</w:t>
            </w:r>
          </w:p>
        </w:tc>
        <w:tc>
          <w:tcPr>
            <w:tcW w:w="1597" w:type="dxa"/>
            <w:tcBorders>
              <w:top w:val="nil"/>
            </w:tcBorders>
          </w:tcPr>
          <w:p w:rsidR="001D1B6A" w:rsidRDefault="00766FD5">
            <w:pPr>
              <w:pStyle w:val="TableParagraph"/>
              <w:spacing w:before="4"/>
              <w:ind w:right="268"/>
              <w:rPr>
                <w:sz w:val="17"/>
              </w:rPr>
            </w:pPr>
            <w:r>
              <w:rPr>
                <w:sz w:val="17"/>
              </w:rPr>
              <w:t>-</w:t>
            </w:r>
          </w:p>
        </w:tc>
        <w:tc>
          <w:tcPr>
            <w:tcW w:w="666" w:type="dxa"/>
            <w:tcBorders>
              <w:top w:val="nil"/>
            </w:tcBorders>
          </w:tcPr>
          <w:p w:rsidR="001D1B6A" w:rsidRDefault="00766FD5">
            <w:pPr>
              <w:pStyle w:val="TableParagraph"/>
              <w:spacing w:before="4"/>
              <w:ind w:right="22"/>
              <w:rPr>
                <w:sz w:val="17"/>
              </w:rPr>
            </w:pPr>
            <w:r>
              <w:rPr>
                <w:sz w:val="17"/>
              </w:rPr>
              <w:t>0,00%</w:t>
            </w:r>
          </w:p>
        </w:tc>
      </w:tr>
      <w:tr w:rsidR="001D1B6A" w:rsidTr="002D72C9">
        <w:trPr>
          <w:trHeight w:hRule="exact" w:val="221"/>
        </w:trPr>
        <w:tc>
          <w:tcPr>
            <w:tcW w:w="2143" w:type="dxa"/>
            <w:shd w:val="clear" w:color="auto" w:fill="FABF8F"/>
          </w:tcPr>
          <w:p w:rsidR="001D1B6A" w:rsidRDefault="00766FD5">
            <w:pPr>
              <w:pStyle w:val="TableParagraph"/>
              <w:ind w:left="24"/>
              <w:jc w:val="left"/>
              <w:rPr>
                <w:sz w:val="17"/>
              </w:rPr>
            </w:pPr>
            <w:r>
              <w:rPr>
                <w:sz w:val="17"/>
              </w:rPr>
              <w:t>TOTAL</w:t>
            </w:r>
          </w:p>
        </w:tc>
        <w:tc>
          <w:tcPr>
            <w:tcW w:w="1615" w:type="dxa"/>
            <w:shd w:val="clear" w:color="auto" w:fill="FABF8F"/>
          </w:tcPr>
          <w:p w:rsidR="006A3AB3" w:rsidRDefault="006A3AB3" w:rsidP="006A3AB3">
            <w:pPr>
              <w:pStyle w:val="TableParagraph"/>
              <w:ind w:right="79"/>
              <w:rPr>
                <w:sz w:val="17"/>
              </w:rPr>
            </w:pPr>
            <w:r>
              <w:rPr>
                <w:sz w:val="17"/>
              </w:rPr>
              <w:t>2.258.505,54</w:t>
            </w:r>
          </w:p>
          <w:p w:rsidR="00B4089C" w:rsidRDefault="00B4089C" w:rsidP="00E460BB">
            <w:pPr>
              <w:pStyle w:val="TableParagraph"/>
              <w:ind w:right="78"/>
              <w:rPr>
                <w:sz w:val="17"/>
              </w:rPr>
            </w:pPr>
          </w:p>
        </w:tc>
        <w:tc>
          <w:tcPr>
            <w:tcW w:w="845" w:type="dxa"/>
            <w:shd w:val="clear" w:color="auto" w:fill="FABF8F"/>
          </w:tcPr>
          <w:p w:rsidR="001D1B6A" w:rsidRDefault="00766FD5">
            <w:pPr>
              <w:pStyle w:val="TableParagraph"/>
              <w:ind w:right="21"/>
              <w:rPr>
                <w:sz w:val="17"/>
              </w:rPr>
            </w:pPr>
            <w:r>
              <w:rPr>
                <w:sz w:val="17"/>
              </w:rPr>
              <w:t>100,00%</w:t>
            </w:r>
          </w:p>
        </w:tc>
        <w:tc>
          <w:tcPr>
            <w:tcW w:w="1534" w:type="dxa"/>
            <w:shd w:val="clear" w:color="auto" w:fill="FABF8F"/>
          </w:tcPr>
          <w:p w:rsidR="001D1B6A" w:rsidRDefault="006A3AB3" w:rsidP="00E460BB">
            <w:pPr>
              <w:pStyle w:val="TableParagraph"/>
              <w:ind w:right="78"/>
              <w:jc w:val="center"/>
              <w:rPr>
                <w:sz w:val="17"/>
              </w:rPr>
            </w:pPr>
            <w:r>
              <w:rPr>
                <w:sz w:val="17"/>
              </w:rPr>
              <w:t>1.701.418,59</w:t>
            </w:r>
            <w:r w:rsidR="00B350BA">
              <w:rPr>
                <w:sz w:val="17"/>
              </w:rPr>
              <w:t xml:space="preserve">         </w:t>
            </w:r>
          </w:p>
        </w:tc>
        <w:tc>
          <w:tcPr>
            <w:tcW w:w="955" w:type="dxa"/>
            <w:shd w:val="clear" w:color="auto" w:fill="FABF8F"/>
          </w:tcPr>
          <w:p w:rsidR="001D1B6A" w:rsidRDefault="00766FD5">
            <w:pPr>
              <w:pStyle w:val="TableParagraph"/>
              <w:ind w:right="21"/>
              <w:rPr>
                <w:sz w:val="17"/>
              </w:rPr>
            </w:pPr>
            <w:r>
              <w:rPr>
                <w:sz w:val="17"/>
              </w:rPr>
              <w:t>100,00%</w:t>
            </w:r>
          </w:p>
        </w:tc>
        <w:tc>
          <w:tcPr>
            <w:tcW w:w="1597" w:type="dxa"/>
            <w:shd w:val="clear" w:color="auto" w:fill="FABF8F"/>
          </w:tcPr>
          <w:p w:rsidR="001D1B6A" w:rsidRDefault="006A3AB3">
            <w:pPr>
              <w:pStyle w:val="TableParagraph"/>
              <w:ind w:left="475"/>
              <w:jc w:val="left"/>
              <w:rPr>
                <w:sz w:val="17"/>
              </w:rPr>
            </w:pPr>
            <w:r>
              <w:rPr>
                <w:sz w:val="17"/>
              </w:rPr>
              <w:t>1.572.043,27</w:t>
            </w:r>
          </w:p>
        </w:tc>
        <w:tc>
          <w:tcPr>
            <w:tcW w:w="666" w:type="dxa"/>
            <w:shd w:val="clear" w:color="auto" w:fill="FABF8F"/>
          </w:tcPr>
          <w:p w:rsidR="001D1B6A" w:rsidRDefault="00766FD5">
            <w:pPr>
              <w:pStyle w:val="TableParagraph"/>
              <w:ind w:right="21"/>
              <w:rPr>
                <w:sz w:val="17"/>
              </w:rPr>
            </w:pPr>
            <w:r>
              <w:rPr>
                <w:sz w:val="17"/>
              </w:rPr>
              <w:t>100,00%</w:t>
            </w:r>
          </w:p>
        </w:tc>
      </w:tr>
    </w:tbl>
    <w:p w:rsidR="001D1B6A" w:rsidRDefault="00766FD5">
      <w:pPr>
        <w:spacing w:line="215" w:lineRule="exact"/>
        <w:ind w:left="152" w:right="3253"/>
        <w:rPr>
          <w:sz w:val="19"/>
        </w:rPr>
      </w:pPr>
      <w:r>
        <w:rPr>
          <w:sz w:val="19"/>
        </w:rPr>
        <w:t xml:space="preserve">FONTE: </w:t>
      </w:r>
      <w:proofErr w:type="spellStart"/>
      <w:r>
        <w:rPr>
          <w:sz w:val="19"/>
        </w:rPr>
        <w:t>Secretaria</w:t>
      </w:r>
      <w:proofErr w:type="spellEnd"/>
      <w:r>
        <w:rPr>
          <w:sz w:val="19"/>
        </w:rPr>
        <w:t xml:space="preserve"> de </w:t>
      </w:r>
      <w:proofErr w:type="spellStart"/>
      <w:r>
        <w:rPr>
          <w:sz w:val="19"/>
        </w:rPr>
        <w:t>Fazenda</w:t>
      </w:r>
      <w:proofErr w:type="spellEnd"/>
    </w:p>
    <w:sectPr w:rsidR="001D1B6A" w:rsidSect="001D1B6A">
      <w:type w:val="continuous"/>
      <w:pgSz w:w="11900" w:h="16840"/>
      <w:pgMar w:top="1400" w:right="114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D1B6A"/>
    <w:rsid w:val="001833D5"/>
    <w:rsid w:val="001B5018"/>
    <w:rsid w:val="001D1B6A"/>
    <w:rsid w:val="002D72C9"/>
    <w:rsid w:val="00306400"/>
    <w:rsid w:val="00341674"/>
    <w:rsid w:val="004B6FE5"/>
    <w:rsid w:val="00561F4B"/>
    <w:rsid w:val="006A3AB3"/>
    <w:rsid w:val="00766FD5"/>
    <w:rsid w:val="00A27F22"/>
    <w:rsid w:val="00A30362"/>
    <w:rsid w:val="00B276E6"/>
    <w:rsid w:val="00B350BA"/>
    <w:rsid w:val="00B4089C"/>
    <w:rsid w:val="00BE6629"/>
    <w:rsid w:val="00C96037"/>
    <w:rsid w:val="00D22771"/>
    <w:rsid w:val="00E460BB"/>
    <w:rsid w:val="00E958F9"/>
    <w:rsid w:val="00F42402"/>
    <w:rsid w:val="00FB1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D1B6A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1B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D1B6A"/>
    <w:pPr>
      <w:spacing w:before="1"/>
      <w:ind w:left="3148" w:right="3258"/>
    </w:pPr>
    <w:rPr>
      <w:b/>
      <w:bCs/>
      <w:sz w:val="17"/>
      <w:szCs w:val="17"/>
    </w:rPr>
  </w:style>
  <w:style w:type="paragraph" w:styleId="PargrafodaLista">
    <w:name w:val="List Paragraph"/>
    <w:basedOn w:val="Normal"/>
    <w:uiPriority w:val="1"/>
    <w:qFormat/>
    <w:rsid w:val="001D1B6A"/>
  </w:style>
  <w:style w:type="paragraph" w:customStyle="1" w:styleId="TableParagraph">
    <w:name w:val="Table Paragraph"/>
    <w:basedOn w:val="Normal"/>
    <w:uiPriority w:val="1"/>
    <w:qFormat/>
    <w:rsid w:val="001D1B6A"/>
    <w:pPr>
      <w:spacing w:before="1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Demonstr-Metas-2017-Friburgo-4</vt:lpstr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Demonstr-Metas-2017-Friburgo-4</dc:title>
  <dc:creator>Cliente</dc:creator>
  <cp:lastModifiedBy>francisco.lavra</cp:lastModifiedBy>
  <cp:revision>2</cp:revision>
  <cp:lastPrinted>2018-04-13T13:40:00Z</cp:lastPrinted>
  <dcterms:created xsi:type="dcterms:W3CDTF">2018-04-13T17:42:00Z</dcterms:created>
  <dcterms:modified xsi:type="dcterms:W3CDTF">2018-04-13T17:42:00Z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2017-03-28T00:00:00Z</vt:filetime>
  </property>
</Properties>
</file>