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D9" w:rsidRPr="009B5512" w:rsidRDefault="009B5512">
      <w:pPr>
        <w:pStyle w:val="Corpodetexto"/>
        <w:spacing w:before="68" w:line="271" w:lineRule="auto"/>
        <w:ind w:left="2658" w:right="2685"/>
        <w:jc w:val="center"/>
        <w:rPr>
          <w:lang w:val="pt-BR"/>
        </w:rPr>
      </w:pPr>
      <w:r w:rsidRPr="009B5512">
        <w:rPr>
          <w:w w:val="105"/>
          <w:lang w:val="pt-BR"/>
        </w:rPr>
        <w:t>PREFEITURA MUNICIPAL DE NOVA FRIBURGO LEI DE DIRETRIZES ORÇAMENTÁRIAS</w:t>
      </w:r>
    </w:p>
    <w:p w:rsidR="007D1AD9" w:rsidRPr="009B5512" w:rsidRDefault="009B5512">
      <w:pPr>
        <w:pStyle w:val="Corpodetexto"/>
        <w:spacing w:line="271" w:lineRule="auto"/>
        <w:ind w:left="3349" w:right="3379"/>
        <w:jc w:val="center"/>
        <w:rPr>
          <w:lang w:val="pt-BR"/>
        </w:rPr>
      </w:pPr>
      <w:r w:rsidRPr="009B5512">
        <w:rPr>
          <w:w w:val="105"/>
          <w:lang w:val="pt-BR"/>
        </w:rPr>
        <w:t>ANEXO DE METAS FISCAIS DEMONSTRATIVO VIII</w:t>
      </w:r>
    </w:p>
    <w:p w:rsidR="007D1AD9" w:rsidRPr="009B5512" w:rsidRDefault="009B5512">
      <w:pPr>
        <w:pStyle w:val="Corpodetexto"/>
        <w:spacing w:line="271" w:lineRule="auto"/>
        <w:ind w:left="1235" w:right="1263"/>
        <w:jc w:val="center"/>
        <w:rPr>
          <w:lang w:val="pt-BR"/>
        </w:rPr>
      </w:pPr>
      <w:r w:rsidRPr="009B5512">
        <w:rPr>
          <w:w w:val="105"/>
          <w:lang w:val="pt-BR"/>
        </w:rPr>
        <w:t>MARGEM DE EXPANSÃO DAS DESPESAS OBRIGATÓRIAS DE CARÁTER CONTINUADO 20</w:t>
      </w:r>
      <w:r w:rsidR="00BC2E0F">
        <w:rPr>
          <w:w w:val="105"/>
          <w:lang w:val="pt-BR"/>
        </w:rPr>
        <w:t>18</w:t>
      </w:r>
    </w:p>
    <w:p w:rsidR="007D1AD9" w:rsidRPr="009B5512" w:rsidRDefault="007D1AD9">
      <w:pPr>
        <w:rPr>
          <w:b/>
          <w:sz w:val="20"/>
          <w:lang w:val="pt-BR"/>
        </w:rPr>
      </w:pPr>
    </w:p>
    <w:p w:rsidR="007D1AD9" w:rsidRPr="009B5512" w:rsidRDefault="007D1AD9">
      <w:pPr>
        <w:spacing w:before="1"/>
        <w:rPr>
          <w:b/>
          <w:lang w:val="pt-BR"/>
        </w:rPr>
      </w:pPr>
    </w:p>
    <w:p w:rsidR="007D1AD9" w:rsidRPr="009B5512" w:rsidRDefault="009B5512">
      <w:pPr>
        <w:tabs>
          <w:tab w:val="left" w:pos="7895"/>
        </w:tabs>
        <w:spacing w:before="92" w:after="10"/>
        <w:ind w:left="143"/>
        <w:rPr>
          <w:sz w:val="11"/>
          <w:lang w:val="pt-BR"/>
        </w:rPr>
      </w:pPr>
      <w:r w:rsidRPr="009B5512">
        <w:rPr>
          <w:w w:val="105"/>
          <w:sz w:val="11"/>
          <w:lang w:val="pt-BR"/>
        </w:rPr>
        <w:t>LRF, art. 4°, §2°,</w:t>
      </w:r>
      <w:r w:rsidRPr="009B5512">
        <w:rPr>
          <w:spacing w:val="11"/>
          <w:w w:val="105"/>
          <w:sz w:val="11"/>
          <w:lang w:val="pt-BR"/>
        </w:rPr>
        <w:t xml:space="preserve"> </w:t>
      </w:r>
      <w:r w:rsidRPr="009B5512">
        <w:rPr>
          <w:w w:val="105"/>
          <w:sz w:val="11"/>
          <w:lang w:val="pt-BR"/>
        </w:rPr>
        <w:t>inciso</w:t>
      </w:r>
      <w:r w:rsidRPr="009B5512">
        <w:rPr>
          <w:spacing w:val="1"/>
          <w:w w:val="105"/>
          <w:sz w:val="11"/>
          <w:lang w:val="pt-BR"/>
        </w:rPr>
        <w:t xml:space="preserve"> </w:t>
      </w:r>
      <w:r w:rsidRPr="009B5512">
        <w:rPr>
          <w:w w:val="105"/>
          <w:sz w:val="11"/>
          <w:lang w:val="pt-BR"/>
        </w:rPr>
        <w:t>V</w:t>
      </w:r>
      <w:r w:rsidRPr="009B5512">
        <w:rPr>
          <w:w w:val="105"/>
          <w:sz w:val="11"/>
          <w:lang w:val="pt-BR"/>
        </w:rPr>
        <w:tab/>
        <w:t>R$</w:t>
      </w:r>
      <w:r w:rsidRPr="009B5512">
        <w:rPr>
          <w:spacing w:val="-3"/>
          <w:w w:val="105"/>
          <w:sz w:val="11"/>
          <w:lang w:val="pt-BR"/>
        </w:rPr>
        <w:t xml:space="preserve"> </w:t>
      </w:r>
      <w:r w:rsidRPr="009B5512">
        <w:rPr>
          <w:w w:val="105"/>
          <w:sz w:val="11"/>
          <w:lang w:val="pt-BR"/>
        </w:rPr>
        <w:t>milhares</w:t>
      </w: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7"/>
        <w:gridCol w:w="3732"/>
      </w:tblGrid>
      <w:tr w:rsidR="007D1AD9">
        <w:trPr>
          <w:trHeight w:hRule="exact" w:val="182"/>
        </w:trPr>
        <w:tc>
          <w:tcPr>
            <w:tcW w:w="4687" w:type="dxa"/>
            <w:shd w:val="clear" w:color="auto" w:fill="FFCC99"/>
          </w:tcPr>
          <w:p w:rsidR="007D1AD9" w:rsidRDefault="009B5512">
            <w:pPr>
              <w:pStyle w:val="TableParagraph"/>
              <w:ind w:left="2055" w:right="2042"/>
              <w:jc w:val="center"/>
              <w:rPr>
                <w:sz w:val="13"/>
              </w:rPr>
            </w:pPr>
            <w:r>
              <w:rPr>
                <w:sz w:val="13"/>
              </w:rPr>
              <w:t>EVENTO</w:t>
            </w:r>
          </w:p>
        </w:tc>
        <w:tc>
          <w:tcPr>
            <w:tcW w:w="3732" w:type="dxa"/>
            <w:shd w:val="clear" w:color="auto" w:fill="FFCC99"/>
          </w:tcPr>
          <w:p w:rsidR="007D1AD9" w:rsidRDefault="009B5512" w:rsidP="00BC2E0F">
            <w:pPr>
              <w:pStyle w:val="TableParagraph"/>
              <w:ind w:left="1247"/>
              <w:rPr>
                <w:sz w:val="13"/>
              </w:rPr>
            </w:pPr>
            <w:r>
              <w:rPr>
                <w:sz w:val="13"/>
              </w:rPr>
              <w:t>Valor Previsto - 20</w:t>
            </w:r>
            <w:r w:rsidR="00BC2E0F">
              <w:rPr>
                <w:sz w:val="13"/>
              </w:rPr>
              <w:t>18</w:t>
            </w:r>
          </w:p>
        </w:tc>
      </w:tr>
      <w:tr w:rsidR="007D1AD9">
        <w:trPr>
          <w:trHeight w:hRule="exact" w:val="192"/>
        </w:trPr>
        <w:tc>
          <w:tcPr>
            <w:tcW w:w="4687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Aumento Permanente da  Receita</w:t>
            </w:r>
          </w:p>
        </w:tc>
        <w:tc>
          <w:tcPr>
            <w:tcW w:w="3732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21.854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tcBorders>
              <w:top w:val="nil"/>
              <w:bottom w:val="nil"/>
            </w:tcBorders>
          </w:tcPr>
          <w:p w:rsidR="007D1AD9" w:rsidRDefault="009B5512">
            <w:pPr>
              <w:pStyle w:val="TableParagraph"/>
              <w:spacing w:before="10"/>
              <w:ind w:left="19"/>
              <w:rPr>
                <w:sz w:val="13"/>
              </w:rPr>
            </w:pPr>
            <w:r>
              <w:rPr>
                <w:sz w:val="13"/>
              </w:rPr>
              <w:t>( - ) Transferências Constitucionais</w:t>
            </w:r>
          </w:p>
        </w:tc>
        <w:tc>
          <w:tcPr>
            <w:tcW w:w="3732" w:type="dxa"/>
            <w:tcBorders>
              <w:top w:val="nil"/>
              <w:bottom w:val="nil"/>
            </w:tcBorders>
          </w:tcPr>
          <w:p w:rsidR="007D1AD9" w:rsidRDefault="009B5512">
            <w:pPr>
              <w:pStyle w:val="TableParagraph"/>
              <w:spacing w:before="10"/>
              <w:ind w:right="1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7D1AD9">
        <w:trPr>
          <w:trHeight w:hRule="exact" w:val="173"/>
        </w:trPr>
        <w:tc>
          <w:tcPr>
            <w:tcW w:w="4687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left="19"/>
              <w:rPr>
                <w:sz w:val="13"/>
              </w:rPr>
            </w:pPr>
            <w:r>
              <w:rPr>
                <w:sz w:val="13"/>
              </w:rPr>
              <w:t>( - ) Transferências ao FUNDEB</w:t>
            </w:r>
          </w:p>
        </w:tc>
        <w:tc>
          <w:tcPr>
            <w:tcW w:w="3732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2.179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C5D9F1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Saldo Final do Aumento Permanente de Receita ( I  )</w:t>
            </w:r>
          </w:p>
        </w:tc>
        <w:tc>
          <w:tcPr>
            <w:tcW w:w="3732" w:type="dxa"/>
            <w:shd w:val="clear" w:color="auto" w:fill="C5D9F1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19.676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C5D9F1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Redução Permanente de Despesa ( II  )</w:t>
            </w:r>
          </w:p>
        </w:tc>
        <w:tc>
          <w:tcPr>
            <w:tcW w:w="3732" w:type="dxa"/>
            <w:shd w:val="clear" w:color="auto" w:fill="C5D9F1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0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C5D9F1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Margem Bruta ( III ) - ( I + II )</w:t>
            </w:r>
          </w:p>
        </w:tc>
        <w:tc>
          <w:tcPr>
            <w:tcW w:w="3732" w:type="dxa"/>
            <w:shd w:val="clear" w:color="auto" w:fill="C5D9F1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19.676</w:t>
            </w:r>
          </w:p>
        </w:tc>
      </w:tr>
      <w:tr w:rsidR="007D1AD9">
        <w:trPr>
          <w:trHeight w:hRule="exact" w:val="192"/>
        </w:trPr>
        <w:tc>
          <w:tcPr>
            <w:tcW w:w="4687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Saldo Utilizado ( IV )</w:t>
            </w:r>
          </w:p>
        </w:tc>
        <w:tc>
          <w:tcPr>
            <w:tcW w:w="3732" w:type="dxa"/>
            <w:tcBorders>
              <w:bottom w:val="nil"/>
            </w:tcBorders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15.741</w:t>
            </w:r>
          </w:p>
        </w:tc>
      </w:tr>
      <w:tr w:rsidR="007D1AD9">
        <w:trPr>
          <w:trHeight w:hRule="exact" w:val="173"/>
        </w:trPr>
        <w:tc>
          <w:tcPr>
            <w:tcW w:w="4687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left="263"/>
              <w:rPr>
                <w:sz w:val="13"/>
              </w:rPr>
            </w:pPr>
            <w:r>
              <w:rPr>
                <w:sz w:val="13"/>
              </w:rPr>
              <w:t>Impacto de Novas DOCC</w:t>
            </w:r>
          </w:p>
        </w:tc>
        <w:tc>
          <w:tcPr>
            <w:tcW w:w="3732" w:type="dxa"/>
            <w:tcBorders>
              <w:top w:val="nil"/>
            </w:tcBorders>
          </w:tcPr>
          <w:p w:rsidR="007D1AD9" w:rsidRDefault="009B5512">
            <w:pPr>
              <w:pStyle w:val="TableParagraph"/>
              <w:spacing w:before="10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15.741</w:t>
            </w:r>
          </w:p>
        </w:tc>
      </w:tr>
      <w:tr w:rsidR="007D1AD9">
        <w:trPr>
          <w:trHeight w:hRule="exact" w:val="182"/>
        </w:trPr>
        <w:tc>
          <w:tcPr>
            <w:tcW w:w="4687" w:type="dxa"/>
            <w:shd w:val="clear" w:color="auto" w:fill="FFCC99"/>
          </w:tcPr>
          <w:p w:rsidR="007D1AD9" w:rsidRPr="009B5512" w:rsidRDefault="009B5512">
            <w:pPr>
              <w:pStyle w:val="TableParagraph"/>
              <w:ind w:left="19"/>
              <w:rPr>
                <w:sz w:val="13"/>
                <w:lang w:val="pt-BR"/>
              </w:rPr>
            </w:pPr>
            <w:r w:rsidRPr="009B5512">
              <w:rPr>
                <w:sz w:val="13"/>
                <w:lang w:val="pt-BR"/>
              </w:rPr>
              <w:t>Margem Líquida de Expansão de DOCC (III -  IV)</w:t>
            </w:r>
          </w:p>
        </w:tc>
        <w:tc>
          <w:tcPr>
            <w:tcW w:w="3732" w:type="dxa"/>
            <w:shd w:val="clear" w:color="auto" w:fill="FABF8F"/>
          </w:tcPr>
          <w:p w:rsidR="007D1AD9" w:rsidRDefault="009B5512">
            <w:pPr>
              <w:pStyle w:val="TableParagraph"/>
              <w:ind w:right="18"/>
              <w:jc w:val="right"/>
              <w:rPr>
                <w:sz w:val="13"/>
              </w:rPr>
            </w:pPr>
            <w:r>
              <w:rPr>
                <w:sz w:val="13"/>
              </w:rPr>
              <w:t>3.935</w:t>
            </w:r>
          </w:p>
        </w:tc>
      </w:tr>
    </w:tbl>
    <w:p w:rsidR="007D1AD9" w:rsidRDefault="009B5512">
      <w:pPr>
        <w:spacing w:before="3"/>
        <w:ind w:left="147"/>
        <w:rPr>
          <w:sz w:val="14"/>
        </w:rPr>
      </w:pPr>
      <w:r>
        <w:rPr>
          <w:w w:val="105"/>
          <w:sz w:val="14"/>
        </w:rPr>
        <w:t>FONTE: Secretaria de Fazenda</w:t>
      </w:r>
    </w:p>
    <w:p w:rsidR="007D1AD9" w:rsidRDefault="007D1AD9">
      <w:pPr>
        <w:rPr>
          <w:sz w:val="14"/>
        </w:rPr>
        <w:sectPr w:rsidR="007D1AD9">
          <w:type w:val="continuous"/>
          <w:pgSz w:w="11900" w:h="16840"/>
          <w:pgMar w:top="1300" w:right="1680" w:bottom="280" w:left="1520" w:header="720" w:footer="720" w:gutter="0"/>
          <w:cols w:space="720"/>
        </w:sectPr>
      </w:pPr>
    </w:p>
    <w:p w:rsidR="007D1AD9" w:rsidRDefault="007D1AD9">
      <w:pPr>
        <w:pStyle w:val="Corpodetexto"/>
        <w:spacing w:before="4"/>
        <w:rPr>
          <w:rFonts w:ascii="Times New Roman"/>
          <w:b w:val="0"/>
          <w:sz w:val="17"/>
        </w:rPr>
      </w:pPr>
    </w:p>
    <w:sectPr w:rsidR="007D1AD9" w:rsidSect="007D1AD9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1AD9"/>
    <w:rsid w:val="004F4703"/>
    <w:rsid w:val="006300AA"/>
    <w:rsid w:val="007D1AD9"/>
    <w:rsid w:val="009B5512"/>
    <w:rsid w:val="009F6ADC"/>
    <w:rsid w:val="00B53E17"/>
    <w:rsid w:val="00BC2E0F"/>
    <w:rsid w:val="00E5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AD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A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D1AD9"/>
    <w:pPr>
      <w:spacing w:before="1"/>
    </w:pPr>
    <w:rPr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  <w:rsid w:val="007D1AD9"/>
  </w:style>
  <w:style w:type="paragraph" w:customStyle="1" w:styleId="TableParagraph">
    <w:name w:val="Table Paragraph"/>
    <w:basedOn w:val="Normal"/>
    <w:uiPriority w:val="1"/>
    <w:qFormat/>
    <w:rsid w:val="007D1AD9"/>
    <w:pPr>
      <w:spacing w:before="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Demonstr-Metas-2017-Friburgo-8</dc:title>
  <dc:creator>Cliente</dc:creator>
  <cp:lastModifiedBy>francisco.lavra</cp:lastModifiedBy>
  <cp:revision>2</cp:revision>
  <dcterms:created xsi:type="dcterms:W3CDTF">2017-07-13T20:12:00Z</dcterms:created>
  <dcterms:modified xsi:type="dcterms:W3CDTF">2017-07-13T20:12:00Z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