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  <w:jc w:val="center"/>
      </w:pPr>
      <w:r>
        <w:rPr>
          <w:rFonts w:ascii="Book Antiqua" w:cs="Book Antiqua" w:hAnsi="Book Antiqua"/>
          <w:b/>
          <w:sz w:val="30"/>
          <w:szCs w:val="30"/>
        </w:rPr>
      </w:r>
    </w:p>
    <w:p>
      <w:pPr>
        <w:pStyle w:val="style0"/>
        <w:spacing w:line="360" w:lineRule="auto"/>
        <w:jc w:val="center"/>
      </w:pPr>
      <w:r>
        <w:rPr>
          <w:rFonts w:ascii="Book Antiqua" w:cs="Book Antiqua" w:hAnsi="Book Antiqua"/>
          <w:b/>
          <w:sz w:val="36"/>
          <w:szCs w:val="36"/>
        </w:rPr>
        <w:t>P  A  R  E  C  E  R</w:t>
      </w:r>
    </w:p>
    <w:p>
      <w:pPr>
        <w:pStyle w:val="style0"/>
        <w:spacing w:line="360" w:lineRule="auto"/>
        <w:jc w:val="center"/>
      </w:pPr>
      <w:r>
        <w:rPr>
          <w:rFonts w:ascii="Book Antiqua" w:cs="Book Antiqua" w:hAnsi="Book Antiqua"/>
          <w:b/>
          <w:sz w:val="36"/>
          <w:szCs w:val="36"/>
        </w:rPr>
        <w:t>(Comissão de Constituição, Justiça e Redação Final)</w:t>
      </w:r>
    </w:p>
    <w:p>
      <w:pPr>
        <w:pStyle w:val="style0"/>
        <w:spacing w:line="360" w:lineRule="auto"/>
        <w:jc w:val="both"/>
      </w:pPr>
      <w:r>
        <w:rPr>
          <w:rFonts w:ascii="Book Antiqua" w:cs="Book Antiqua" w:hAnsi="Book Antiqua"/>
          <w:b/>
          <w:bCs/>
          <w:color w:val="000000"/>
          <w:sz w:val="30"/>
          <w:szCs w:val="30"/>
        </w:rPr>
      </w:r>
    </w:p>
    <w:p>
      <w:pPr>
        <w:pStyle w:val="style0"/>
        <w:spacing w:line="360" w:lineRule="auto"/>
        <w:jc w:val="both"/>
      </w:pPr>
      <w:r>
        <w:rPr>
          <w:rFonts w:cs="Times New Roman"/>
          <w:b/>
          <w:color w:val="000000"/>
          <w:sz w:val="28"/>
          <w:szCs w:val="28"/>
          <w:u w:val="single"/>
        </w:rPr>
        <w:t xml:space="preserve">REF. PROJETO DE LEI Nº </w:t>
      </w:r>
      <w:r>
        <w:rPr>
          <w:rFonts w:cs="Times New Roman"/>
          <w:b/>
          <w:color w:val="000000"/>
          <w:sz w:val="28"/>
          <w:szCs w:val="28"/>
          <w:u w:val="single"/>
        </w:rPr>
        <w:t>457</w:t>
      </w:r>
      <w:r>
        <w:rPr>
          <w:rFonts w:cs="Times New Roman"/>
          <w:b/>
          <w:color w:val="000000"/>
          <w:sz w:val="28"/>
          <w:szCs w:val="28"/>
          <w:u w:val="single"/>
        </w:rPr>
        <w:t>/13</w:t>
      </w:r>
    </w:p>
    <w:p>
      <w:pPr>
        <w:pStyle w:val="style0"/>
        <w:spacing w:line="360" w:lineRule="auto"/>
        <w:jc w:val="both"/>
      </w:pPr>
      <w:r>
        <w:rPr>
          <w:rFonts w:cs="Times New Roman"/>
          <w:b/>
          <w:color w:val="000000"/>
          <w:sz w:val="28"/>
          <w:szCs w:val="28"/>
          <w:u w:val="single"/>
        </w:rPr>
        <w:t xml:space="preserve">AUTORIA: VEREADOR </w:t>
      </w:r>
      <w:r>
        <w:rPr>
          <w:rFonts w:cs="Times New Roman"/>
          <w:b/>
          <w:color w:val="000000"/>
          <w:sz w:val="28"/>
          <w:szCs w:val="28"/>
          <w:u w:val="single"/>
        </w:rPr>
        <w:t>WELLINGTON MOREIRA</w:t>
      </w:r>
    </w:p>
    <w:p>
      <w:pPr>
        <w:pStyle w:val="style0"/>
      </w:pPr>
      <w:r>
        <w:rPr>
          <w:rFonts w:cs="Times New Roman"/>
          <w:sz w:val="28"/>
          <w:szCs w:val="28"/>
        </w:rPr>
      </w:r>
    </w:p>
    <w:p>
      <w:pPr>
        <w:pStyle w:val="style0"/>
      </w:pPr>
      <w:r>
        <w:rPr>
          <w:rFonts w:cs="Times New Roman"/>
          <w:sz w:val="28"/>
          <w:szCs w:val="28"/>
        </w:rPr>
      </w:r>
    </w:p>
    <w:p>
      <w:pPr>
        <w:pStyle w:val="style0"/>
        <w:spacing w:line="360" w:lineRule="auto"/>
        <w:jc w:val="both"/>
      </w:pPr>
      <w:r>
        <w:rPr>
          <w:rFonts w:ascii="Book Antiqua" w:cs="Book Antiqua" w:hAnsi="Book Antiqua"/>
          <w:sz w:val="30"/>
          <w:szCs w:val="30"/>
        </w:rPr>
        <w:t xml:space="preserve">                             </w:t>
      </w:r>
      <w:r>
        <w:rPr>
          <w:rFonts w:ascii="Book Antiqua" w:cs="Book Antiqua" w:hAnsi="Book Antiqua"/>
          <w:sz w:val="30"/>
          <w:szCs w:val="30"/>
        </w:rPr>
        <w:t>Trata-se de Projeto de Lei de autoria do Edil suso referido, possuindo a seguinte ementa: “</w:t>
      </w:r>
      <w:r>
        <w:rPr>
          <w:rFonts w:ascii="Book Antiqua" w:cs="Book Antiqua" w:hAnsi="Book Antiqua"/>
          <w:b/>
          <w:sz w:val="30"/>
          <w:szCs w:val="30"/>
        </w:rPr>
        <w:t>DISPÕE SOBRE PREENCHIMENTO DE RECEITUÁRIOS E EXAMES MÉDICOS NO ÂMBITO DO MUNICÍPIO DE NOVA FRIBURGO E DÁ OUTRAS PROVIDÊNCIAS</w:t>
      </w:r>
      <w:r>
        <w:rPr>
          <w:rFonts w:ascii="Book Antiqua" w:cs="Book Antiqua" w:hAnsi="Book Antiqua"/>
          <w:sz w:val="30"/>
          <w:szCs w:val="30"/>
        </w:rPr>
        <w:t>”</w:t>
      </w:r>
    </w:p>
    <w:p>
      <w:pPr>
        <w:pStyle w:val="style0"/>
        <w:spacing w:line="360" w:lineRule="auto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jc w:val="both"/>
      </w:pPr>
      <w:r>
        <w:rPr>
          <w:rFonts w:ascii="Book Antiqua" w:cs="Book Antiqua" w:hAnsi="Book Antiqua"/>
          <w:sz w:val="30"/>
          <w:szCs w:val="30"/>
        </w:rPr>
        <w:tab/>
        <w:tab/>
        <w:tab/>
        <w:t>Levado à apreciação à Comissão de Saúde, a mesma emitiu parecer manifestando-se desfavorável ao Projeto de lei, com a justificativa de tal proposta incorre em despesas públicas, tornando a presente Casa incompetente para deliberar sobre a presente matéria, conforme dispõe o art. 16 e 93, §único da Lei de Responsabilidade Fiscal.</w:t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both"/>
      </w:pPr>
      <w:r>
        <w:rPr>
          <w:rFonts w:ascii="Book Antiqua" w:cs="Book Antiqua" w:hAnsi="Book Antiqua"/>
          <w:sz w:val="30"/>
          <w:szCs w:val="30"/>
        </w:rPr>
        <w:tab/>
        <w:tab/>
        <w:tab/>
        <w:t>É o relatório.</w:t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both"/>
      </w:pPr>
      <w:r>
        <w:rPr>
          <w:rFonts w:ascii="Book Antiqua" w:cs="Book Antiqua" w:hAnsi="Book Antiqua"/>
          <w:sz w:val="30"/>
          <w:szCs w:val="30"/>
        </w:rPr>
        <w:tab/>
        <w:tab/>
        <w:tab/>
        <w:t>Com efeito, a iniciativa parlamentar, visa garantir benefícios aos cidadãos Friburguenses, fazendo com que estabelecimentos de saúde, médicos, dentários, consultórios e similares emitam receituário médico na forma digitada por computador ou manuscrita em letra legível.</w:t>
      </w:r>
    </w:p>
    <w:p>
      <w:pPr>
        <w:pStyle w:val="style0"/>
        <w:spacing w:line="360" w:lineRule="auto"/>
        <w:ind w:firstLine="2127" w:left="0" w:right="0"/>
        <w:jc w:val="both"/>
      </w:pPr>
      <w:r>
        <w:rPr/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>Tal Projeto, diz respeito ao risco à saúde das pessoas, representado pelas receitas ilegíveis, que podem levar à troca dos medicamentos prescritos. Sendo isto inadmissível nos dias atuais, com o avanço tecnológico verificado.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>Primeiramente, o Projeto de Lei encontra apoio no ordenamento jurídico federal, através de Decreto 793/93, que prevê no seu artigo 35, inciso II, que a receita médica tem que ser prescrita de forma legível.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hanging="0" w:left="2268" w:right="0"/>
        <w:jc w:val="both"/>
      </w:pPr>
      <w:r>
        <w:rPr>
          <w:rFonts w:ascii="Book Antiqua" w:cs="Book Antiqua" w:hAnsi="Book Antiqua"/>
          <w:sz w:val="30"/>
          <w:szCs w:val="30"/>
        </w:rPr>
        <w:t xml:space="preserve"> </w:t>
      </w:r>
      <w:r>
        <w:rPr>
          <w:rFonts w:ascii="Book Antiqua" w:cs="Book Antiqua" w:hAnsi="Book Antiqua"/>
          <w:sz w:val="30"/>
          <w:szCs w:val="30"/>
        </w:rPr>
        <w:t xml:space="preserve">"Art. 35. Somente será aviada a receita médica ou odontológica que: </w:t>
      </w:r>
    </w:p>
    <w:p>
      <w:pPr>
        <w:pStyle w:val="style0"/>
        <w:spacing w:line="360" w:lineRule="auto"/>
        <w:ind w:hanging="0" w:left="2268" w:right="0"/>
        <w:jc w:val="both"/>
      </w:pPr>
      <w:r>
        <w:rPr>
          <w:rFonts w:ascii="Book Antiqua" w:cs="Book Antiqua" w:hAnsi="Book Antiqua"/>
          <w:sz w:val="30"/>
          <w:szCs w:val="30"/>
        </w:rPr>
        <w:t>II - estiver escrita a tinta, de modo legível, observadas a nomenclatura e o sistema de pesos e medidas oficiais, indicando a posologia e a duração total do tratamento;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>Também encontra-se abarcado pelo próprio Código de Ética Médica, no seu artigo 39:</w:t>
      </w:r>
    </w:p>
    <w:p>
      <w:pPr>
        <w:pStyle w:val="style0"/>
        <w:spacing w:line="360" w:lineRule="auto"/>
        <w:ind w:hanging="0" w:left="2268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hanging="0" w:left="2268" w:right="0"/>
        <w:jc w:val="both"/>
      </w:pPr>
      <w:r>
        <w:rPr>
          <w:rFonts w:ascii="Book Antiqua" w:cs="Book Antiqua" w:hAnsi="Book Antiqua"/>
          <w:sz w:val="30"/>
          <w:szCs w:val="30"/>
        </w:rPr>
        <w:t>Art. 39 - Receitar ou atestar de forma secreta ou ilegível, assim como assinar em branco folhas de receituários, laudos, atestados ou quaisquer outros documentos médicos.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>Ou seja, quanto à matéria, não existe melhor maneira de se ter uma receita médica, do que de forma digitada ou por letra legível.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>Salientamos que a propositura encontra respaldo, ainda, no artigo 196 da Constituição Federal e que várias outras cidades do território brasileiro aprovaram Projetos de lei semelhante aos propostos pelos seus vereadores, como por exemplo a cidade de Vilhena, Jacareí/SP.</w:t>
      </w:r>
    </w:p>
    <w:p>
      <w:pPr>
        <w:pStyle w:val="style0"/>
        <w:tabs/>
        <w:spacing w:line="360" w:lineRule="auto"/>
        <w:ind w:hanging="15" w:left="2280" w:right="0"/>
        <w:jc w:val="both"/>
      </w:pPr>
      <w:r>
        <w:rPr>
          <w:rFonts w:ascii="Book Antiqua" w:cs="Book Antiqua" w:hAnsi="Book Antiqua"/>
          <w:sz w:val="30"/>
          <w:szCs w:val="30"/>
        </w:rPr>
        <w:t xml:space="preserve"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 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 xml:space="preserve">Com relação ao parecer da Comissão de Saúde, a Comissão de Constituição e Justiça não concorda com o mesmo, já que a aprovação deste projeto, bem como a sua execução, não obriga que cada Unidade de Saúde da Rede Pública Municipal (postos, hospitais, consultórios, módulos) tenha seu computador e impressora pois a obrigatoriedade a que se refere a norma é, no que tange a expedição de receitas e prontuários legíveis, sejam estes apresentados de forma digitada ou escrita manualmente. 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>O Projeto de Lei em nenhum momento determina que as receitas deverão ser expedidas de forma digitada, o mesmo além da forma digitada estipula a letra de forma legível, que com certeza não traz nenhum ônus para a administração.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 xml:space="preserve">  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>Assim, percebe-se que a imposição da norma não onera os cofres do Poder Executivo Municipal, visto que a forma de sua apresentação é facultativa, obrigando, tão somente a prescrição de receitas e prontuários legíveis e de fácil compreensão, o que por si só, é um direito do paciente.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 xml:space="preserve">Neste diapasão, vale destacar que a norma em debate está madura para inserir-se no ordenamento jurídico municipal. 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>Em relação ao aspecto gramatical e regimental converge com o Regimento Interno desta Casa de Leis.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>Por todo o exposto, tendo em vista que o Projeto de Lei encontra-se de acordo com os dispositivos legais mencionados e estando devidamente obedecidas a competência em razão da matéria e a iniciativa legal, mostrando-se formal e materialmente constitucional, e, ainda, primando pela BOA e CONCISA técnica legislativa, somos pela aprovação do Projeto de Lei em tela.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>Dê-se ciência aos demais membros desta Comissão.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  <w:t>Sala das Comissões, 07 de agosto de 2013.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widowControl/>
        <w:suppressAutoHyphens w:val="false"/>
        <w:spacing w:after="280" w:before="280"/>
        <w:contextualSpacing w:val="false"/>
        <w:jc w:val="center"/>
      </w:pPr>
      <w:r>
        <w:rPr>
          <w:rFonts w:ascii="Book Antiqua" w:cs="Book Antiqua" w:eastAsia="Times New Roman" w:hAnsi="Book Antiqua"/>
          <w:b/>
          <w:color w:val="000000"/>
          <w:sz w:val="32"/>
          <w:szCs w:val="32"/>
          <w:lang w:bidi="ar-SA" w:eastAsia="ar-SA"/>
        </w:rPr>
        <w:t>NAMI NASSIF</w:t>
      </w:r>
    </w:p>
    <w:p>
      <w:pPr>
        <w:pStyle w:val="style0"/>
        <w:jc w:val="center"/>
      </w:pPr>
      <w:r>
        <w:rPr>
          <w:rFonts w:ascii="Book Antiqua" w:cs="Book Antiqua" w:eastAsia="Times New Roman" w:hAnsi="Book Antiqua"/>
          <w:b/>
          <w:color w:val="000000"/>
          <w:sz w:val="22"/>
          <w:szCs w:val="22"/>
          <w:lang w:bidi="ar-SA" w:eastAsia="ar-SA"/>
        </w:rPr>
        <w:t>Presidente da Comissão de Constituição, Justiça e Redação Final</w:t>
      </w:r>
    </w:p>
    <w:p>
      <w:pPr>
        <w:pStyle w:val="style0"/>
        <w:spacing w:line="360" w:lineRule="auto"/>
        <w:ind w:firstLine="2127" w:left="0" w:right="0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jc w:val="both"/>
      </w:pPr>
      <w:r>
        <w:rPr>
          <w:rFonts w:ascii="Book Antiqua" w:cs="Book Antiqua" w:hAnsi="Book Antiqua"/>
          <w:sz w:val="30"/>
          <w:szCs w:val="30"/>
        </w:rPr>
      </w:r>
    </w:p>
    <w:p>
      <w:pPr>
        <w:pStyle w:val="style0"/>
        <w:spacing w:line="360" w:lineRule="auto"/>
        <w:jc w:val="center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/>
      <w:suppressAutoHyphens w:val="true"/>
      <w:textAlignment w:val="baseline"/>
    </w:pPr>
    <w:rPr>
      <w:rFonts w:ascii="Times New Roman" w:cs="Mangal" w:eastAsia="Lucida Sans Unicode" w:hAnsi="Times New Roman"/>
      <w:color w:val="auto"/>
      <w:sz w:val="24"/>
      <w:szCs w:val="24"/>
      <w:lang w:bidi="hi-IN" w:eastAsia="zh-CN" w:val="pt-BR"/>
    </w:rPr>
  </w:style>
  <w:style w:styleId="style15" w:type="character">
    <w:name w:val="Default Paragraph Font"/>
    <w:next w:val="style15"/>
    <w:rPr/>
  </w:style>
  <w:style w:styleId="style16" w:type="character">
    <w:name w:val="Link da Internet"/>
    <w:basedOn w:val="style15"/>
    <w:next w:val="style16"/>
    <w:rPr>
      <w:color w:val="0000FF"/>
      <w:u w:val="single"/>
      <w:lang w:bidi="pt-BR" w:eastAsia="pt-BR" w:val="pt-BR"/>
    </w:rPr>
  </w:style>
  <w:style w:styleId="style17" w:type="character">
    <w:name w:val="Ênfase forte"/>
    <w:basedOn w:val="style15"/>
    <w:next w:val="style17"/>
    <w:rPr>
      <w:b/>
      <w:bCs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9" w:type="paragraph">
    <w:name w:val="Corpo de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Título principal"/>
    <w:basedOn w:val="style0"/>
    <w:next w:val="style24"/>
    <w:pPr>
      <w:keepNext/>
      <w:spacing w:after="120" w:before="240"/>
      <w:contextualSpacing w:val="false"/>
      <w:jc w:val="center"/>
    </w:pPr>
    <w:rPr>
      <w:rFonts w:ascii="Arial" w:hAnsi="Arial"/>
      <w:b/>
      <w:bCs/>
      <w:sz w:val="28"/>
      <w:szCs w:val="28"/>
    </w:rPr>
  </w:style>
  <w:style w:styleId="style24" w:type="paragraph">
    <w:name w:val="Subtítulo"/>
    <w:basedOn w:val="style18"/>
    <w:next w:val="style19"/>
    <w:pPr>
      <w:jc w:val="center"/>
    </w:pPr>
    <w:rPr>
      <w:i/>
      <w:iCs/>
      <w:sz w:val="28"/>
      <w:szCs w:val="28"/>
    </w:rPr>
  </w:style>
  <w:style w:styleId="style25" w:type="paragraph">
    <w:name w:val="name"/>
    <w:basedOn w:val="style0"/>
    <w:next w:val="style25"/>
    <w:pPr>
      <w:widowControl/>
    </w:pPr>
    <w:rPr>
      <w:rFonts w:cs="Times New Roman" w:eastAsia="Times New Roman"/>
      <w:lang w:bidi="ar-SA"/>
    </w:rPr>
  </w:style>
  <w:style w:styleId="style26" w:type="paragraph">
    <w:name w:val="Normal (Web)"/>
    <w:basedOn w:val="style0"/>
    <w:next w:val="style26"/>
    <w:pPr>
      <w:spacing w:after="280" w:before="280"/>
      <w:contextualSpacing w:val="false"/>
    </w:pPr>
    <w:rPr/>
  </w:style>
  <w:style w:styleId="style27" w:type="paragraph">
    <w:name w:val="HTML Preformatted"/>
    <w:basedOn w:val="style0"/>
    <w:next w:val="style27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</w:pPr>
    <w:rPr>
      <w:rFonts w:ascii="Courier New" w:cs="Courier New" w:hAnsi="Courier New"/>
      <w:color w:val="385260"/>
      <w:sz w:val="14"/>
      <w:szCs w:val="14"/>
    </w:rPr>
  </w:style>
  <w:style w:styleId="style28" w:type="paragraph">
    <w:name w:val="Normal"/>
    <w:next w:val="style28"/>
    <w:pPr>
      <w:widowControl/>
      <w:tabs/>
      <w:suppressAutoHyphens w:val="false"/>
      <w:textAlignment w:val="auto"/>
    </w:pPr>
    <w:rPr>
      <w:rFonts w:ascii="Calibri" w:cs="" w:eastAsia="Lucida Sans Unicode" w:hAnsi="Calibri"/>
      <w:color w:val="000000"/>
      <w:sz w:val="24"/>
      <w:szCs w:val="24"/>
      <w:lang w:bidi="ar-SA" w:eastAsia="pt-BR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2013-02-15T11:49:00.00Z</dcterms:created>
  <dc:creator>Marina</dc:creator>
  <cp:lastModifiedBy>Marina</cp:lastModifiedBy>
  <cp:lastPrinted>2013-08-07T16:57:07.98Z</cp:lastPrinted>
  <dcterms:modified xsi:type="dcterms:W3CDTF">2013-08-07T19:35:00.00Z</dcterms:modified>
  <cp:revision>5</cp:revision>
</cp:coreProperties>
</file>